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90" w:rsidRDefault="00C06B90" w:rsidP="00C434FE">
      <w:pPr>
        <w:pStyle w:val="ConsPlusNormal"/>
        <w:jc w:val="center"/>
      </w:pPr>
    </w:p>
    <w:p w:rsidR="00C434FE" w:rsidRPr="0071165B" w:rsidRDefault="00024E43" w:rsidP="00C434FE">
      <w:pPr>
        <w:pStyle w:val="ConsPlusNormal"/>
        <w:jc w:val="center"/>
        <w:rPr>
          <w:sz w:val="26"/>
          <w:szCs w:val="26"/>
        </w:rPr>
      </w:pPr>
      <w:r w:rsidRPr="0071165B">
        <w:rPr>
          <w:sz w:val="26"/>
          <w:szCs w:val="26"/>
        </w:rPr>
        <w:t xml:space="preserve">УСЛОВИЯ </w:t>
      </w:r>
      <w:r w:rsidR="00C434FE" w:rsidRPr="0071165B">
        <w:rPr>
          <w:sz w:val="26"/>
          <w:szCs w:val="26"/>
        </w:rPr>
        <w:t>ТИПОВО</w:t>
      </w:r>
      <w:r w:rsidRPr="0071165B">
        <w:rPr>
          <w:sz w:val="26"/>
          <w:szCs w:val="26"/>
        </w:rPr>
        <w:t>ГО</w:t>
      </w:r>
      <w:r w:rsidR="00C434FE" w:rsidRPr="0071165B">
        <w:rPr>
          <w:sz w:val="26"/>
          <w:szCs w:val="26"/>
        </w:rPr>
        <w:t xml:space="preserve"> ДОГОВОР</w:t>
      </w:r>
      <w:r w:rsidR="004B30DA" w:rsidRPr="0071165B">
        <w:rPr>
          <w:sz w:val="26"/>
          <w:szCs w:val="26"/>
        </w:rPr>
        <w:t>А</w:t>
      </w:r>
    </w:p>
    <w:p w:rsidR="00C434FE" w:rsidRPr="0071165B" w:rsidRDefault="00C434FE" w:rsidP="00C434FE">
      <w:pPr>
        <w:pStyle w:val="ConsPlusNormal"/>
        <w:jc w:val="center"/>
        <w:rPr>
          <w:sz w:val="26"/>
          <w:szCs w:val="26"/>
        </w:rPr>
      </w:pPr>
      <w:r w:rsidRPr="0071165B">
        <w:rPr>
          <w:sz w:val="26"/>
          <w:szCs w:val="26"/>
        </w:rPr>
        <w:t>об осуществлении технологического присоединения</w:t>
      </w:r>
    </w:p>
    <w:p w:rsidR="009D0E7E" w:rsidRDefault="00C434FE" w:rsidP="00C434FE">
      <w:pPr>
        <w:pStyle w:val="ConsPlusNormal"/>
        <w:jc w:val="center"/>
        <w:rPr>
          <w:sz w:val="26"/>
          <w:szCs w:val="26"/>
        </w:rPr>
      </w:pPr>
      <w:r w:rsidRPr="0071165B">
        <w:rPr>
          <w:sz w:val="26"/>
          <w:szCs w:val="26"/>
        </w:rPr>
        <w:t>к электрическим сетям</w:t>
      </w:r>
    </w:p>
    <w:p w:rsidR="009465DE" w:rsidRPr="0071165B" w:rsidRDefault="009465DE" w:rsidP="00DA7D5A">
      <w:pPr>
        <w:pStyle w:val="ConsPlusNormal"/>
        <w:jc w:val="center"/>
      </w:pPr>
    </w:p>
    <w:p w:rsidR="00C434FE" w:rsidRPr="0071165B" w:rsidRDefault="00C434FE" w:rsidP="00DC18FC">
      <w:pPr>
        <w:pStyle w:val="ConsPlusNormal"/>
        <w:jc w:val="both"/>
        <w:rPr>
          <w:sz w:val="26"/>
          <w:szCs w:val="26"/>
        </w:rPr>
      </w:pPr>
    </w:p>
    <w:p w:rsidR="00C434FE" w:rsidRPr="00DA7D5A" w:rsidRDefault="00C434FE" w:rsidP="00DC18FC">
      <w:pPr>
        <w:pStyle w:val="ConsPlusNormal"/>
        <w:jc w:val="center"/>
        <w:outlineLvl w:val="2"/>
      </w:pPr>
      <w:r w:rsidRPr="00DA7D5A">
        <w:t>I. Предмет договора</w:t>
      </w:r>
    </w:p>
    <w:p w:rsidR="00C434FE" w:rsidRPr="0071165B" w:rsidRDefault="00C434FE" w:rsidP="00DC18FC">
      <w:pPr>
        <w:pStyle w:val="ConsPlusNormal"/>
        <w:jc w:val="both"/>
        <w:rPr>
          <w:sz w:val="26"/>
          <w:szCs w:val="26"/>
        </w:rPr>
      </w:pPr>
    </w:p>
    <w:p w:rsidR="00C434FE" w:rsidRPr="008123BA" w:rsidRDefault="00375C1E" w:rsidP="00DA7D5A">
      <w:pPr>
        <w:pStyle w:val="ConsPlusNonformat"/>
        <w:numPr>
          <w:ilvl w:val="0"/>
          <w:numId w:val="1"/>
        </w:numPr>
        <w:ind w:left="0" w:firstLine="567"/>
        <w:contextualSpacing/>
        <w:jc w:val="both"/>
        <w:rPr>
          <w:rFonts w:ascii="Times New Roman" w:hAnsi="Times New Roman" w:cs="Times New Roman"/>
          <w:sz w:val="24"/>
          <w:szCs w:val="24"/>
        </w:rPr>
      </w:pPr>
      <w:r w:rsidRPr="008123BA">
        <w:rPr>
          <w:rFonts w:ascii="Times New Roman" w:hAnsi="Times New Roman" w:cs="Times New Roman"/>
          <w:sz w:val="24"/>
          <w:szCs w:val="24"/>
        </w:rPr>
        <w:t>С</w:t>
      </w:r>
      <w:r w:rsidR="00C434FE" w:rsidRPr="008123BA">
        <w:rPr>
          <w:rFonts w:ascii="Times New Roman" w:hAnsi="Times New Roman" w:cs="Times New Roman"/>
          <w:sz w:val="24"/>
          <w:szCs w:val="24"/>
        </w:rPr>
        <w:t>етевая организация принимает на себя</w:t>
      </w:r>
      <w:r w:rsidR="008E5BF2"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 xml:space="preserve">обязательства </w:t>
      </w:r>
      <w:r w:rsidR="0071165B" w:rsidRPr="008123BA">
        <w:rPr>
          <w:rFonts w:ascii="Times New Roman" w:hAnsi="Times New Roman" w:cs="Times New Roman"/>
          <w:sz w:val="24"/>
          <w:szCs w:val="24"/>
        </w:rPr>
        <w:br/>
      </w:r>
      <w:r w:rsidR="00C434FE" w:rsidRPr="008123BA">
        <w:rPr>
          <w:rFonts w:ascii="Times New Roman" w:hAnsi="Times New Roman" w:cs="Times New Roman"/>
          <w:sz w:val="24"/>
          <w:szCs w:val="24"/>
        </w:rPr>
        <w:t>по осуществлению технологического присоединения</w:t>
      </w:r>
      <w:r w:rsidR="008E5BF2"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энергопринимающих устройств (далее - технологическое</w:t>
      </w:r>
      <w:r w:rsidR="008E5BF2"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присоединение)</w:t>
      </w:r>
      <w:r w:rsidR="003B3280" w:rsidRPr="008123BA">
        <w:rPr>
          <w:rFonts w:ascii="Times New Roman" w:hAnsi="Times New Roman" w:cs="Times New Roman"/>
          <w:sz w:val="24"/>
          <w:szCs w:val="24"/>
        </w:rPr>
        <w:softHyphen/>
      </w:r>
      <w:r w:rsidR="003B3280" w:rsidRPr="008123BA">
        <w:rPr>
          <w:rFonts w:ascii="Times New Roman" w:hAnsi="Times New Roman" w:cs="Times New Roman"/>
          <w:sz w:val="24"/>
          <w:szCs w:val="24"/>
        </w:rPr>
        <w:softHyphen/>
      </w:r>
      <w:r w:rsidR="003B3280" w:rsidRPr="008123BA">
        <w:rPr>
          <w:rFonts w:ascii="Times New Roman" w:hAnsi="Times New Roman" w:cs="Times New Roman"/>
          <w:sz w:val="24"/>
          <w:szCs w:val="24"/>
        </w:rPr>
        <w:softHyphen/>
      </w:r>
      <w:r w:rsidR="003B3280" w:rsidRPr="008123BA">
        <w:rPr>
          <w:rFonts w:ascii="Times New Roman" w:hAnsi="Times New Roman" w:cs="Times New Roman"/>
          <w:sz w:val="24"/>
          <w:szCs w:val="24"/>
        </w:rPr>
        <w:softHyphen/>
      </w:r>
      <w:r w:rsidR="003B3280" w:rsidRPr="008123BA">
        <w:rPr>
          <w:rFonts w:ascii="Times New Roman" w:hAnsi="Times New Roman" w:cs="Times New Roman"/>
          <w:sz w:val="24"/>
          <w:szCs w:val="24"/>
        </w:rPr>
        <w:softHyphen/>
        <w:t>___________________________________________________</w:t>
      </w:r>
      <w:r w:rsidR="00251ACE" w:rsidRPr="008123BA">
        <w:rPr>
          <w:rFonts w:ascii="Times New Roman" w:hAnsi="Times New Roman" w:cs="Times New Roman"/>
          <w:sz w:val="24"/>
          <w:szCs w:val="24"/>
        </w:rPr>
        <w:t>,</w:t>
      </w:r>
      <w:r w:rsidR="00C434FE" w:rsidRPr="008123BA">
        <w:rPr>
          <w:rFonts w:ascii="Times New Roman" w:hAnsi="Times New Roman" w:cs="Times New Roman"/>
          <w:sz w:val="24"/>
          <w:szCs w:val="24"/>
        </w:rPr>
        <w:t xml:space="preserve"> в том числе по обеспечению готовности объектов электросетевого</w:t>
      </w:r>
      <w:r w:rsidR="00C9113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хозяйства (включая их проектирование, строительство, реконструкцию) к</w:t>
      </w:r>
      <w:r w:rsidR="00C9113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присоединению энергопринимающих устройств, урегулированию отношений с</w:t>
      </w:r>
      <w:r w:rsidR="00C9113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третьими лицами в случае необходимости строительства (модернизации) такими</w:t>
      </w:r>
      <w:r w:rsidR="00C9113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лицами принадлежащих им объектов электросетевого хозяйства</w:t>
      </w:r>
      <w:r w:rsidR="00C9113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(энергопринимающих устройств, объектов электроэнергетики),</w:t>
      </w:r>
      <w:r w:rsidR="00251AC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с учетом</w:t>
      </w:r>
      <w:r w:rsidR="00C9113E" w:rsidRPr="008123BA">
        <w:rPr>
          <w:rFonts w:ascii="Times New Roman" w:hAnsi="Times New Roman" w:cs="Times New Roman"/>
          <w:sz w:val="24"/>
          <w:szCs w:val="24"/>
        </w:rPr>
        <w:t xml:space="preserve"> </w:t>
      </w:r>
      <w:r w:rsidR="00C434FE" w:rsidRPr="008123BA">
        <w:rPr>
          <w:rFonts w:ascii="Times New Roman" w:hAnsi="Times New Roman" w:cs="Times New Roman"/>
          <w:sz w:val="24"/>
          <w:szCs w:val="24"/>
        </w:rPr>
        <w:t>следующих характеристик:</w:t>
      </w:r>
    </w:p>
    <w:p w:rsidR="00390B57" w:rsidRPr="008123BA" w:rsidRDefault="002D1C46" w:rsidP="00DA7D5A">
      <w:pPr>
        <w:pStyle w:val="ConsPlusNormal"/>
        <w:ind w:firstLine="567"/>
        <w:contextualSpacing/>
        <w:jc w:val="both"/>
      </w:pPr>
      <w:r w:rsidRPr="008123BA">
        <w:t xml:space="preserve">максимальная мощность присоединяемых энергопринимающих устройств </w:t>
      </w:r>
      <w:r w:rsidR="00253C6A" w:rsidRPr="008123BA">
        <w:t>___ кВт</w:t>
      </w:r>
      <w:r w:rsidRPr="008123BA">
        <w:t>;</w:t>
      </w:r>
    </w:p>
    <w:p w:rsidR="002D1C46" w:rsidRPr="008123BA" w:rsidRDefault="00C65939" w:rsidP="00DA7D5A">
      <w:pPr>
        <w:pStyle w:val="ConsPlusNormal"/>
        <w:ind w:firstLine="567"/>
        <w:contextualSpacing/>
        <w:jc w:val="both"/>
      </w:pPr>
      <w:r w:rsidRPr="008123BA">
        <w:t>категория надежности</w:t>
      </w:r>
      <w:r w:rsidR="008871DD" w:rsidRPr="008123BA">
        <w:t xml:space="preserve"> ___;</w:t>
      </w:r>
    </w:p>
    <w:p w:rsidR="007F5277" w:rsidRPr="008123BA" w:rsidRDefault="007F5277" w:rsidP="00DA7D5A">
      <w:pPr>
        <w:pStyle w:val="ConsPlusNormal"/>
        <w:ind w:firstLine="567"/>
        <w:contextualSpacing/>
      </w:pPr>
      <w:r w:rsidRPr="008123BA">
        <w:t>максимальная мощность ранее присоединенных энергопринимающих устройств ____ кВт</w:t>
      </w:r>
      <w:r w:rsidR="008871DD" w:rsidRPr="008123BA">
        <w:t>;</w:t>
      </w:r>
    </w:p>
    <w:p w:rsidR="00C434FE" w:rsidRPr="008123BA" w:rsidRDefault="00C434FE" w:rsidP="00DA7D5A">
      <w:pPr>
        <w:pStyle w:val="ConsPlusNormal"/>
        <w:ind w:firstLine="567"/>
        <w:contextualSpacing/>
        <w:jc w:val="both"/>
      </w:pPr>
      <w:r w:rsidRPr="008123BA">
        <w:t>класс напряжения электрических сетей, к которым осуществляется технологическое присоединение</w:t>
      </w:r>
      <w:r w:rsidR="00253C6A" w:rsidRPr="008123BA">
        <w:t xml:space="preserve"> ____ кВ</w:t>
      </w:r>
      <w:r w:rsidR="008871DD" w:rsidRPr="008123BA">
        <w:t>.</w:t>
      </w:r>
    </w:p>
    <w:p w:rsidR="00375C1E" w:rsidRPr="008123BA" w:rsidRDefault="00375C1E" w:rsidP="00DA7D5A">
      <w:pPr>
        <w:pStyle w:val="ConsPlusNormal"/>
        <w:ind w:firstLine="567"/>
        <w:contextualSpacing/>
        <w:jc w:val="both"/>
      </w:pPr>
      <w:r w:rsidRPr="008123BA">
        <w:t>Заявитель обязуется оплатить расходы на технологическое присоединение в соответствии с условиями договора об осуществлении технологического присоединения к электрическим сетям (далее - договор). Сетевая организация и заявитель являются сторонами договора (далее - стороны).</w:t>
      </w:r>
      <w:r w:rsidRPr="008123BA" w:rsidDel="00375C1E">
        <w:t xml:space="preserve"> </w:t>
      </w:r>
    </w:p>
    <w:p w:rsidR="00375C1E" w:rsidRPr="008123BA" w:rsidRDefault="00375C1E" w:rsidP="00DA7D5A">
      <w:pPr>
        <w:pStyle w:val="ConsPlusNormal"/>
        <w:contextualSpacing/>
      </w:pPr>
    </w:p>
    <w:p w:rsidR="001E4F19" w:rsidRPr="008123BA" w:rsidRDefault="00375C1E" w:rsidP="00DA7D5A">
      <w:pPr>
        <w:pStyle w:val="ConsPlusNormal"/>
        <w:ind w:firstLine="567"/>
        <w:contextualSpacing/>
      </w:pPr>
      <w:r w:rsidRPr="008123BA">
        <w:t xml:space="preserve">2. </w:t>
      </w:r>
      <w:r w:rsidR="00C434FE" w:rsidRPr="008123BA">
        <w:t xml:space="preserve">Технологическое присоединение необходимо для электроснабжения </w:t>
      </w:r>
    </w:p>
    <w:p w:rsidR="00375C1E" w:rsidRPr="008123BA" w:rsidRDefault="001E4F19" w:rsidP="00DA7D5A">
      <w:pPr>
        <w:pStyle w:val="ConsPlusNormal"/>
        <w:ind w:firstLine="567"/>
        <w:contextualSpacing/>
      </w:pPr>
      <w:r w:rsidRPr="008123BA">
        <w:t>___</w:t>
      </w:r>
      <w:r w:rsidR="00375C1E" w:rsidRPr="008123BA">
        <w:t>___________</w:t>
      </w:r>
      <w:r w:rsidR="00375C1E" w:rsidRPr="008123BA">
        <w:softHyphen/>
      </w:r>
      <w:r w:rsidR="00375C1E" w:rsidRPr="008123BA">
        <w:softHyphen/>
      </w:r>
      <w:r w:rsidR="00375C1E" w:rsidRPr="008123BA">
        <w:softHyphen/>
      </w:r>
      <w:r w:rsidR="00375C1E" w:rsidRPr="008123BA">
        <w:softHyphen/>
      </w:r>
      <w:r w:rsidR="00375C1E" w:rsidRPr="008123BA">
        <w:softHyphen/>
      </w:r>
      <w:r w:rsidR="00375C1E" w:rsidRPr="008123BA">
        <w:softHyphen/>
        <w:t>______________________________________</w:t>
      </w:r>
      <w:r w:rsidRPr="008123BA">
        <w:t>____________________</w:t>
      </w:r>
    </w:p>
    <w:p w:rsidR="00375C1E" w:rsidRPr="008123BA" w:rsidRDefault="00375C1E" w:rsidP="00DA7D5A">
      <w:pPr>
        <w:pStyle w:val="ConsPlusNormal"/>
        <w:spacing w:before="240"/>
        <w:ind w:firstLine="567"/>
        <w:contextualSpacing/>
      </w:pPr>
      <w:r w:rsidRPr="008123BA">
        <w:t xml:space="preserve">                          (наименование </w:t>
      </w:r>
      <w:r w:rsidR="00C434FE" w:rsidRPr="008123BA">
        <w:t>объектов заявителя</w:t>
      </w:r>
      <w:r w:rsidRPr="008123BA">
        <w:t>)</w:t>
      </w:r>
    </w:p>
    <w:p w:rsidR="00375C1E" w:rsidRPr="008123BA" w:rsidRDefault="00375C1E" w:rsidP="00DA7D5A">
      <w:pPr>
        <w:pStyle w:val="ConsPlusNormal"/>
        <w:spacing w:before="240"/>
        <w:ind w:firstLine="567"/>
        <w:contextualSpacing/>
      </w:pPr>
      <w:r w:rsidRPr="008123BA">
        <w:t>расположенных (которые будут располагаться) _______________________________________________________________</w:t>
      </w:r>
      <w:r w:rsidR="001E4F19" w:rsidRPr="008123BA">
        <w:t>______</w:t>
      </w:r>
      <w:r w:rsidRPr="008123BA">
        <w:t>________</w:t>
      </w:r>
      <w:r w:rsidR="00390B57" w:rsidRPr="008123BA">
        <w:t>,</w:t>
      </w:r>
    </w:p>
    <w:p w:rsidR="003B3280" w:rsidRPr="008123BA" w:rsidRDefault="00375C1E" w:rsidP="00DA7D5A">
      <w:pPr>
        <w:pStyle w:val="ConsPlusNormal"/>
        <w:spacing w:before="240"/>
        <w:ind w:firstLine="567"/>
        <w:contextualSpacing/>
      </w:pPr>
      <w:r w:rsidRPr="008123BA">
        <w:t xml:space="preserve">                               (место нахождения объектов заявителя) </w:t>
      </w:r>
    </w:p>
    <w:p w:rsidR="00C434FE" w:rsidRPr="008123BA" w:rsidRDefault="001E4F19" w:rsidP="00DA7D5A">
      <w:pPr>
        <w:pStyle w:val="ConsPlusNormal"/>
        <w:ind w:firstLine="567"/>
        <w:contextualSpacing/>
        <w:jc w:val="both"/>
      </w:pPr>
      <w:r w:rsidRPr="008123BA">
        <w:t>3</w:t>
      </w:r>
      <w:r w:rsidR="00E10996" w:rsidRPr="008123BA">
        <w:t xml:space="preserve">. </w:t>
      </w:r>
      <w:r w:rsidRPr="008123BA">
        <w:t xml:space="preserve">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не далее 15 метров во внешнюю сторону от  границы участка заявителя, на котором располагаются     (будут     располагаться) присоединяемые объекты заявителя.</w:t>
      </w:r>
      <w:r w:rsidRPr="008123BA" w:rsidDel="001E4F19">
        <w:t xml:space="preserve"> </w:t>
      </w:r>
    </w:p>
    <w:p w:rsidR="001E4F19" w:rsidRPr="008123BA" w:rsidRDefault="001E4F19" w:rsidP="00DA7D5A">
      <w:pPr>
        <w:pStyle w:val="ConsPlusNormal"/>
        <w:spacing w:before="240"/>
        <w:ind w:firstLine="567"/>
        <w:contextualSpacing/>
        <w:jc w:val="both"/>
      </w:pPr>
      <w:r w:rsidRPr="008123BA">
        <w:t>4</w:t>
      </w:r>
      <w:r w:rsidR="00C434FE" w:rsidRPr="008123BA">
        <w:t xml:space="preserve">. </w:t>
      </w:r>
      <w:hyperlink w:anchor="Par2689" w:tooltip="                            ТЕХНИЧЕСКИЕ УСЛОВИЯ" w:history="1">
        <w:r w:rsidR="00C434FE" w:rsidRPr="008123BA">
          <w:t>Технические условия</w:t>
        </w:r>
      </w:hyperlink>
      <w:r w:rsidR="00C434FE" w:rsidRPr="008123BA">
        <w:t xml:space="preserve"> являются неотъемлемой частью </w:t>
      </w:r>
      <w:r w:rsidR="006C79D7" w:rsidRPr="008123BA">
        <w:t>договора</w:t>
      </w:r>
      <w:r w:rsidR="00C434FE" w:rsidRPr="008123BA">
        <w:t>.</w:t>
      </w:r>
    </w:p>
    <w:p w:rsidR="00251ACE" w:rsidRPr="008123BA" w:rsidRDefault="00251ACE" w:rsidP="00DA7D5A">
      <w:pPr>
        <w:pStyle w:val="ConsPlusNormal"/>
        <w:spacing w:before="240"/>
        <w:ind w:firstLine="567"/>
        <w:contextualSpacing/>
        <w:jc w:val="both"/>
        <w:rPr>
          <w:sz w:val="26"/>
          <w:szCs w:val="26"/>
        </w:rPr>
      </w:pPr>
      <w:r w:rsidRPr="008123BA">
        <w:t>Срок действия технич</w:t>
      </w:r>
      <w:r w:rsidR="00E10996" w:rsidRPr="008123BA">
        <w:t>еских условий составляет 2 года</w:t>
      </w:r>
      <w:r w:rsidRPr="008123BA">
        <w:t xml:space="preserve"> со дня заключения</w:t>
      </w:r>
      <w:r w:rsidRPr="008123BA">
        <w:rPr>
          <w:sz w:val="26"/>
          <w:szCs w:val="26"/>
        </w:rPr>
        <w:t xml:space="preserve"> договора.</w:t>
      </w:r>
    </w:p>
    <w:p w:rsidR="00C434FE" w:rsidRDefault="001E4F19" w:rsidP="008123BA">
      <w:pPr>
        <w:pStyle w:val="ConsPlusNormal"/>
        <w:spacing w:before="240"/>
        <w:ind w:firstLine="567"/>
        <w:contextualSpacing/>
        <w:jc w:val="both"/>
      </w:pPr>
      <w:bookmarkStart w:id="0" w:name="Par2573"/>
      <w:bookmarkEnd w:id="0"/>
      <w:r w:rsidRPr="008123BA">
        <w:t>5</w:t>
      </w:r>
      <w:r w:rsidR="00C434FE" w:rsidRPr="008123BA">
        <w:t>. Срок выполнения мероприятий по технологическому присоединению</w:t>
      </w:r>
      <w:r w:rsidR="00E10996" w:rsidRPr="008123BA">
        <w:t xml:space="preserve"> </w:t>
      </w:r>
      <w:r w:rsidR="001E6DEE" w:rsidRPr="008123BA">
        <w:t xml:space="preserve">составляет </w:t>
      </w:r>
      <w:r w:rsidR="008123BA">
        <w:t>_</w:t>
      </w:r>
      <w:r w:rsidR="001E6DEE" w:rsidRPr="008123BA">
        <w:t xml:space="preserve"> со дня заключения настоящего договора</w:t>
      </w:r>
      <w:r w:rsidR="00C434FE" w:rsidRPr="008123BA">
        <w:t>.</w:t>
      </w:r>
    </w:p>
    <w:p w:rsidR="008123BA" w:rsidRPr="008123BA" w:rsidRDefault="008123BA" w:rsidP="008123BA">
      <w:pPr>
        <w:pStyle w:val="ConsPlusNormal"/>
        <w:spacing w:before="240"/>
        <w:ind w:firstLine="567"/>
        <w:contextualSpacing/>
        <w:jc w:val="both"/>
      </w:pPr>
    </w:p>
    <w:p w:rsidR="00C434FE" w:rsidRPr="00DA7D5A" w:rsidRDefault="00C434FE" w:rsidP="00DC18FC">
      <w:pPr>
        <w:pStyle w:val="ConsPlusNormal"/>
        <w:contextualSpacing/>
        <w:jc w:val="center"/>
        <w:outlineLvl w:val="2"/>
      </w:pPr>
      <w:r w:rsidRPr="00DA7D5A">
        <w:t>II. Обязанности Сторон</w:t>
      </w:r>
    </w:p>
    <w:p w:rsidR="00E06D50" w:rsidRPr="00DA7D5A" w:rsidRDefault="00E06D50" w:rsidP="00DC18FC">
      <w:pPr>
        <w:pStyle w:val="ConsPlusNormal"/>
        <w:contextualSpacing/>
        <w:jc w:val="both"/>
      </w:pPr>
    </w:p>
    <w:p w:rsidR="00E06D50" w:rsidRPr="00DA7D5A" w:rsidRDefault="001E4F19" w:rsidP="00DC18FC">
      <w:pPr>
        <w:pStyle w:val="ConsPlusNormal"/>
        <w:ind w:firstLine="540"/>
        <w:contextualSpacing/>
        <w:jc w:val="both"/>
      </w:pPr>
      <w:r>
        <w:t>6</w:t>
      </w:r>
      <w:r w:rsidR="00E06D50" w:rsidRPr="00DA7D5A">
        <w:t>. Сетевая организация обязуется:</w:t>
      </w:r>
    </w:p>
    <w:p w:rsidR="00E06D50" w:rsidRDefault="001E4F19" w:rsidP="00DA7D5A">
      <w:pPr>
        <w:autoSpaceDE w:val="0"/>
        <w:autoSpaceDN w:val="0"/>
        <w:adjustRightInd w:val="0"/>
        <w:spacing w:after="0" w:line="240" w:lineRule="auto"/>
        <w:ind w:firstLine="540"/>
        <w:jc w:val="both"/>
      </w:pPr>
      <w:r>
        <w:rPr>
          <w:rFonts w:ascii="Times New Roman" w:eastAsiaTheme="minorHAnsi" w:hAnsi="Times New Roman" w:cs="Times New Roman"/>
          <w:sz w:val="24"/>
          <w:szCs w:val="24"/>
          <w:lang w:eastAsia="en-US"/>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w:t>
      </w:r>
      <w:bookmarkStart w:id="1" w:name="_GoBack"/>
      <w:bookmarkEnd w:id="1"/>
      <w:r>
        <w:rPr>
          <w:rFonts w:ascii="Times New Roman" w:eastAsiaTheme="minorHAnsi" w:hAnsi="Times New Roman" w:cs="Times New Roman"/>
          <w:sz w:val="24"/>
          <w:szCs w:val="24"/>
          <w:lang w:eastAsia="en-US"/>
        </w:rPr>
        <w:t>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r w:rsidR="00FE0266" w:rsidRPr="00DA7D5A">
        <w:rPr>
          <w:rFonts w:ascii="Times New Roman" w:hAnsi="Times New Roman" w:cs="Times New Roman"/>
          <w:sz w:val="24"/>
          <w:szCs w:val="24"/>
        </w:rPr>
        <w:t>;</w:t>
      </w:r>
    </w:p>
    <w:p w:rsidR="001E4F19" w:rsidRDefault="001E4F19" w:rsidP="00DA7D5A">
      <w:pPr>
        <w:autoSpaceDE w:val="0"/>
        <w:autoSpaceDN w:val="0"/>
        <w:adjustRightInd w:val="0"/>
        <w:spacing w:after="0" w:line="240" w:lineRule="auto"/>
        <w:ind w:firstLine="540"/>
        <w:jc w:val="both"/>
        <w:rPr>
          <w:rFonts w:eastAsiaTheme="minorHAnsi"/>
          <w:lang w:eastAsia="en-US"/>
        </w:rPr>
      </w:pPr>
      <w:r w:rsidRPr="001E4F19">
        <w:rPr>
          <w:rFonts w:ascii="Times New Roman" w:eastAsiaTheme="minorHAnsi" w:hAnsi="Times New Roman" w:cs="Times New Roman"/>
          <w:sz w:val="24"/>
          <w:szCs w:val="24"/>
          <w:lang w:eastAsia="en-US"/>
        </w:rPr>
        <w:lastRenderedPageBreak/>
        <w:t xml:space="preserve">в течение </w:t>
      </w:r>
      <w:r>
        <w:rPr>
          <w:rFonts w:ascii="Times New Roman" w:eastAsiaTheme="minorHAnsi" w:hAnsi="Times New Roman" w:cs="Times New Roman"/>
          <w:sz w:val="24"/>
          <w:szCs w:val="24"/>
          <w:lang w:eastAsia="en-US"/>
        </w:rPr>
        <w:t>10</w:t>
      </w:r>
      <w:r w:rsidRPr="001E4F19">
        <w:rPr>
          <w:rFonts w:ascii="Times New Roman" w:eastAsiaTheme="minorHAnsi" w:hAnsi="Times New Roman" w:cs="Times New Roman"/>
          <w:sz w:val="24"/>
          <w:szCs w:val="24"/>
          <w:lang w:eastAsia="en-US"/>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1E4F19" w:rsidRDefault="001E4F19" w:rsidP="00DA7D5A">
      <w:pPr>
        <w:autoSpaceDE w:val="0"/>
        <w:autoSpaceDN w:val="0"/>
        <w:adjustRightInd w:val="0"/>
        <w:spacing w:after="0" w:line="240" w:lineRule="auto"/>
        <w:ind w:firstLine="540"/>
        <w:jc w:val="both"/>
        <w:rPr>
          <w:rFonts w:eastAsiaTheme="minorHAnsi"/>
          <w:lang w:eastAsia="en-US"/>
        </w:rPr>
      </w:pPr>
      <w:r w:rsidRPr="001E4F19">
        <w:rPr>
          <w:rFonts w:ascii="Times New Roman" w:eastAsiaTheme="minorHAnsi" w:hAnsi="Times New Roman" w:cs="Times New Roman"/>
          <w:sz w:val="24"/>
          <w:szCs w:val="24"/>
          <w:lang w:eastAsia="en-US"/>
        </w:rPr>
        <w:t xml:space="preserve">не позднее </w:t>
      </w:r>
      <w:r>
        <w:rPr>
          <w:rFonts w:ascii="Times New Roman" w:eastAsiaTheme="minorHAnsi" w:hAnsi="Times New Roman" w:cs="Times New Roman"/>
          <w:sz w:val="24"/>
          <w:szCs w:val="24"/>
          <w:lang w:eastAsia="en-US"/>
        </w:rPr>
        <w:t>3</w:t>
      </w:r>
      <w:r w:rsidRPr="001E4F19">
        <w:rPr>
          <w:rFonts w:ascii="Times New Roman" w:eastAsiaTheme="minorHAnsi" w:hAnsi="Times New Roman" w:cs="Times New Roman"/>
          <w:sz w:val="24"/>
          <w:szCs w:val="24"/>
          <w:lang w:eastAsia="en-US"/>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w:t>
      </w:r>
      <w:r>
        <w:rPr>
          <w:rFonts w:ascii="Times New Roman" w:eastAsiaTheme="minorHAnsi" w:hAnsi="Times New Roman" w:cs="Times New Roman"/>
          <w:sz w:val="24"/>
          <w:szCs w:val="24"/>
          <w:lang w:eastAsia="en-US"/>
        </w:rPr>
        <w:t>ровне напряжения 0,4 кВ и ниже);</w:t>
      </w:r>
    </w:p>
    <w:p w:rsidR="001E4F19" w:rsidRPr="00DA7D5A" w:rsidRDefault="001E4F19" w:rsidP="00DA7D5A">
      <w:pPr>
        <w:autoSpaceDE w:val="0"/>
        <w:autoSpaceDN w:val="0"/>
        <w:adjustRightInd w:val="0"/>
        <w:spacing w:after="0" w:line="240" w:lineRule="auto"/>
        <w:ind w:firstLine="539"/>
        <w:jc w:val="both"/>
        <w:rPr>
          <w:rFonts w:eastAsiaTheme="minorHAnsi"/>
          <w:sz w:val="24"/>
          <w:szCs w:val="24"/>
          <w:lang w:eastAsia="en-US"/>
        </w:rPr>
      </w:pPr>
      <w:r w:rsidRPr="001E4F19">
        <w:rPr>
          <w:rFonts w:ascii="Times New Roman" w:eastAsiaTheme="minorHAnsi" w:hAnsi="Times New Roman" w:cs="Times New Roman"/>
          <w:sz w:val="24"/>
          <w:szCs w:val="24"/>
          <w:lang w:eastAsia="en-US"/>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E06D50" w:rsidRPr="00DA7D5A" w:rsidRDefault="001E4F19" w:rsidP="00DA7D5A">
      <w:pPr>
        <w:pStyle w:val="ConsPlusNormal"/>
        <w:ind w:firstLine="539"/>
        <w:contextualSpacing/>
        <w:jc w:val="both"/>
      </w:pPr>
      <w:r>
        <w:t>7</w:t>
      </w:r>
      <w:r w:rsidR="00E06D50" w:rsidRPr="00DA7D5A">
        <w:t>.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06D50" w:rsidRPr="00DA7D5A" w:rsidRDefault="001E4F19" w:rsidP="00DC18FC">
      <w:pPr>
        <w:pStyle w:val="ConsPlusNormal"/>
        <w:spacing w:before="240"/>
        <w:ind w:firstLine="540"/>
        <w:contextualSpacing/>
        <w:jc w:val="both"/>
      </w:pPr>
      <w:bookmarkStart w:id="2" w:name="Par2579"/>
      <w:bookmarkEnd w:id="2"/>
      <w:r>
        <w:t>8</w:t>
      </w:r>
      <w:r w:rsidR="00E06D50" w:rsidRPr="00DA7D5A">
        <w:t>. Заявитель обязуется:</w:t>
      </w:r>
    </w:p>
    <w:p w:rsidR="00320E26" w:rsidRDefault="00320E26">
      <w:pPr>
        <w:pStyle w:val="ConsPlusNormal"/>
        <w:spacing w:before="240"/>
        <w:ind w:firstLine="540"/>
        <w:contextualSpacing/>
        <w:jc w:val="both"/>
      </w:pPr>
      <w:r w:rsidRPr="00320E26">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r w:rsidRPr="00320E26" w:rsidDel="00320E26">
        <w:t xml:space="preserve"> </w:t>
      </w:r>
    </w:p>
    <w:p w:rsidR="00320E26" w:rsidRDefault="00320E26" w:rsidP="00320E26">
      <w:pPr>
        <w:pStyle w:val="ConsPlusNormal"/>
        <w:spacing w:before="240"/>
        <w:ind w:firstLine="540"/>
        <w:contextualSpacing/>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0E26" w:rsidRDefault="00320E26" w:rsidP="00320E26">
      <w:pPr>
        <w:pStyle w:val="ConsPlusNormal"/>
        <w:spacing w:before="240"/>
        <w:ind w:firstLine="540"/>
        <w:contextualSpacing/>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320E26" w:rsidRDefault="002138E6" w:rsidP="00320E26">
      <w:pPr>
        <w:pStyle w:val="ConsPlusNormal"/>
        <w:spacing w:before="240"/>
        <w:ind w:firstLine="540"/>
        <w:contextualSpacing/>
        <w:jc w:val="both"/>
      </w:pPr>
      <w:r w:rsidRPr="002138E6">
        <w:t xml:space="preserve">по результатам выполнения сетевой организацией мероприятий по технологическому присоединению в соответствии с техническими условиями рассмотреть и при наличии замечаний </w:t>
      </w:r>
      <w:r>
        <w:t>к</w:t>
      </w:r>
      <w:r w:rsidRPr="002138E6">
        <w:t xml:space="preserve"> акт</w:t>
      </w:r>
      <w:r>
        <w:t>у</w:t>
      </w:r>
      <w:r w:rsidRPr="002138E6">
        <w:t xml:space="preserve"> о выполнении технических условий,</w:t>
      </w:r>
      <w:r w:rsidR="00320E26" w:rsidRPr="002138E6">
        <w:t xml:space="preserve"> акт</w:t>
      </w:r>
      <w:r w:rsidRPr="00DA7D5A">
        <w:t>у</w:t>
      </w:r>
      <w:r w:rsidR="00320E26" w:rsidRPr="002138E6">
        <w:t xml:space="preserve"> об осуществлении </w:t>
      </w:r>
      <w:r w:rsidR="00320E26" w:rsidRPr="002138E6">
        <w:lastRenderedPageBreak/>
        <w:t>технологического присоединения</w:t>
      </w:r>
      <w:r w:rsidR="00320E26">
        <w:t xml:space="preserve"> </w:t>
      </w:r>
      <w:r w:rsidR="00F524D8">
        <w:t>(</w:t>
      </w:r>
      <w:r w:rsidR="00F524D8" w:rsidRPr="00F524D8">
        <w:t>в случае осуществления технологического присоединения энергопринимающих устройств на уровне напряжения 0,4 кВ и ниже - к уведомлению об обеспечении сетевой организацией возможности присоединения к электрическим сетям</w:t>
      </w:r>
      <w:r w:rsidR="00F524D8">
        <w:t>)</w:t>
      </w:r>
      <w:r w:rsidR="00F524D8" w:rsidRPr="00F524D8">
        <w:t xml:space="preserve"> </w:t>
      </w:r>
      <w:r>
        <w:t>вправе представить</w:t>
      </w:r>
      <w:r w:rsidR="00320E26">
        <w:t xml:space="preserve"> </w:t>
      </w:r>
      <w:r w:rsidR="00F524D8">
        <w:t xml:space="preserve">такие замечания </w:t>
      </w:r>
      <w:r w:rsidR="00320E26">
        <w:t xml:space="preserve">в течение </w:t>
      </w:r>
      <w:r>
        <w:t>20</w:t>
      </w:r>
      <w:r w:rsidR="00320E26">
        <w:t xml:space="preserve"> рабочих дней </w:t>
      </w:r>
      <w:r w:rsidR="00F524D8" w:rsidRPr="00F524D8">
        <w:t>со дня получения уведомления от сетевой организации о составлении и размещении в личном кабинете заявителя</w:t>
      </w:r>
      <w:r w:rsidR="00F524D8">
        <w:t xml:space="preserve"> указанных документов</w:t>
      </w:r>
      <w:r w:rsidR="00320E26">
        <w:t>;</w:t>
      </w:r>
    </w:p>
    <w:p w:rsidR="00320E26" w:rsidRDefault="00320E26" w:rsidP="00320E26">
      <w:pPr>
        <w:pStyle w:val="ConsPlusNormal"/>
        <w:spacing w:before="240"/>
        <w:ind w:firstLine="540"/>
        <w:contextualSpacing/>
        <w:jc w:val="both"/>
      </w:pPr>
      <w: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320E26" w:rsidRDefault="00320E26" w:rsidP="00DC18FC">
      <w:pPr>
        <w:pStyle w:val="ConsPlusNormal"/>
        <w:spacing w:before="240"/>
        <w:ind w:firstLine="540"/>
        <w:contextualSpacing/>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r w:rsidRPr="001E4F19" w:rsidDel="00320E26">
        <w:t xml:space="preserve"> </w:t>
      </w:r>
    </w:p>
    <w:p w:rsidR="00E06D50" w:rsidRPr="00DA7D5A" w:rsidRDefault="00320E26" w:rsidP="00DC18FC">
      <w:pPr>
        <w:pStyle w:val="ConsPlusNormal"/>
        <w:spacing w:before="240"/>
        <w:ind w:firstLine="540"/>
        <w:contextualSpacing/>
        <w:jc w:val="both"/>
      </w:pPr>
      <w:r w:rsidRPr="00320E26">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r w:rsidRPr="00320E26" w:rsidDel="00320E26">
        <w:t xml:space="preserve"> </w:t>
      </w:r>
    </w:p>
    <w:p w:rsidR="00FE7699" w:rsidRPr="00DA7D5A" w:rsidRDefault="00FE7699" w:rsidP="00DC18FC">
      <w:pPr>
        <w:pStyle w:val="ConsPlusNormal"/>
        <w:spacing w:before="240"/>
        <w:ind w:firstLine="540"/>
        <w:contextualSpacing/>
        <w:jc w:val="both"/>
      </w:pPr>
    </w:p>
    <w:p w:rsidR="00E06D50" w:rsidRPr="00DA7D5A" w:rsidRDefault="00E06D50" w:rsidP="00DC18FC">
      <w:pPr>
        <w:pStyle w:val="ConsPlusNormal"/>
        <w:contextualSpacing/>
        <w:jc w:val="center"/>
        <w:outlineLvl w:val="2"/>
      </w:pPr>
      <w:bookmarkStart w:id="3" w:name="Par2591"/>
      <w:bookmarkEnd w:id="3"/>
      <w:r w:rsidRPr="00DA7D5A">
        <w:t>III. Плата за технологическое присоединение</w:t>
      </w:r>
    </w:p>
    <w:p w:rsidR="00E06D50" w:rsidRPr="00DA7D5A" w:rsidRDefault="00E06D50" w:rsidP="00DC18FC">
      <w:pPr>
        <w:pStyle w:val="ConsPlusNormal"/>
        <w:contextualSpacing/>
        <w:jc w:val="center"/>
      </w:pPr>
      <w:r w:rsidRPr="00DA7D5A">
        <w:t>и порядок расчетов</w:t>
      </w:r>
    </w:p>
    <w:p w:rsidR="00E06D50" w:rsidRPr="00DA7D5A" w:rsidRDefault="00E06D50" w:rsidP="00DC18FC">
      <w:pPr>
        <w:pStyle w:val="ConsPlusNormal"/>
        <w:contextualSpacing/>
        <w:jc w:val="both"/>
      </w:pPr>
    </w:p>
    <w:p w:rsidR="00320E26" w:rsidRDefault="00320E26">
      <w:pPr>
        <w:pStyle w:val="ConsPlusNonformat"/>
        <w:ind w:firstLine="567"/>
        <w:contextualSpacing/>
        <w:jc w:val="both"/>
        <w:rPr>
          <w:rFonts w:ascii="Times New Roman" w:hAnsi="Times New Roman" w:cs="Times New Roman"/>
          <w:sz w:val="24"/>
          <w:szCs w:val="24"/>
        </w:rPr>
      </w:pPr>
      <w:r w:rsidRPr="00DA7D5A">
        <w:rPr>
          <w:rFonts w:ascii="Times New Roman" w:hAnsi="Times New Roman" w:cs="Times New Roman"/>
          <w:sz w:val="24"/>
          <w:szCs w:val="24"/>
        </w:rPr>
        <w:t>1</w:t>
      </w:r>
      <w:r>
        <w:rPr>
          <w:rFonts w:ascii="Times New Roman" w:hAnsi="Times New Roman" w:cs="Times New Roman"/>
          <w:sz w:val="24"/>
          <w:szCs w:val="24"/>
        </w:rPr>
        <w:t>0</w:t>
      </w:r>
      <w:r w:rsidR="0071165B" w:rsidRPr="00DA7D5A">
        <w:rPr>
          <w:rFonts w:ascii="Times New Roman" w:hAnsi="Times New Roman" w:cs="Times New Roman"/>
          <w:sz w:val="24"/>
          <w:szCs w:val="24"/>
        </w:rPr>
        <w:t xml:space="preserve">. Размер </w:t>
      </w:r>
      <w:r w:rsidR="00E06D50" w:rsidRPr="00DA7D5A">
        <w:rPr>
          <w:rFonts w:ascii="Times New Roman" w:hAnsi="Times New Roman" w:cs="Times New Roman"/>
          <w:sz w:val="24"/>
          <w:szCs w:val="24"/>
        </w:rPr>
        <w:t xml:space="preserve">платы за </w:t>
      </w:r>
      <w:r w:rsidR="0071165B" w:rsidRPr="00DA7D5A">
        <w:rPr>
          <w:rFonts w:ascii="Times New Roman" w:hAnsi="Times New Roman" w:cs="Times New Roman"/>
          <w:sz w:val="24"/>
          <w:szCs w:val="24"/>
        </w:rPr>
        <w:t xml:space="preserve">технологическое </w:t>
      </w:r>
      <w:r w:rsidR="00E06D50" w:rsidRPr="00DA7D5A">
        <w:rPr>
          <w:rFonts w:ascii="Times New Roman" w:hAnsi="Times New Roman" w:cs="Times New Roman"/>
          <w:sz w:val="24"/>
          <w:szCs w:val="24"/>
        </w:rPr>
        <w:t xml:space="preserve">присоединение </w:t>
      </w:r>
      <w:r w:rsidRPr="00320E26">
        <w:rPr>
          <w:rFonts w:ascii="Times New Roman" w:hAnsi="Times New Roman" w:cs="Times New Roman"/>
          <w:sz w:val="24"/>
          <w:szCs w:val="24"/>
        </w:rPr>
        <w:t xml:space="preserve">                                            </w:t>
      </w:r>
      <w:r>
        <w:rPr>
          <w:rFonts w:ascii="Times New Roman" w:hAnsi="Times New Roman" w:cs="Times New Roman"/>
          <w:sz w:val="24"/>
          <w:szCs w:val="24"/>
        </w:rPr>
        <w:t xml:space="preserve">                   определяется </w:t>
      </w:r>
      <w:r w:rsidRPr="00320E26">
        <w:rPr>
          <w:rFonts w:ascii="Times New Roman" w:hAnsi="Times New Roman" w:cs="Times New Roman"/>
          <w:sz w:val="24"/>
          <w:szCs w:val="24"/>
        </w:rPr>
        <w:t>в соответствии с решением</w:t>
      </w:r>
      <w:r w:rsidRPr="00320E26" w:rsidDel="00320E26">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w:t>
      </w:r>
    </w:p>
    <w:p w:rsidR="00320E26" w:rsidRDefault="00320E26" w:rsidP="00DA7D5A">
      <w:pPr>
        <w:pStyle w:val="ConsPlusNonformat"/>
        <w:contextualSpacing/>
        <w:jc w:val="both"/>
        <w:rPr>
          <w:rFonts w:ascii="Times New Roman" w:hAnsi="Times New Roman" w:cs="Times New Roman"/>
          <w:sz w:val="24"/>
          <w:szCs w:val="24"/>
        </w:rPr>
      </w:pPr>
      <w:r w:rsidRPr="00320E26">
        <w:rPr>
          <w:rFonts w:ascii="Times New Roman" w:hAnsi="Times New Roman" w:cs="Times New Roman"/>
          <w:sz w:val="24"/>
          <w:szCs w:val="24"/>
        </w:rPr>
        <w:t>от ______________ N ______ и составляет _________________ рублей __ копеек.</w:t>
      </w:r>
      <w:r w:rsidRPr="00320E26" w:rsidDel="00320E26">
        <w:rPr>
          <w:rFonts w:ascii="Times New Roman" w:hAnsi="Times New Roman" w:cs="Times New Roman"/>
          <w:sz w:val="24"/>
          <w:szCs w:val="24"/>
        </w:rPr>
        <w:t xml:space="preserve"> </w:t>
      </w:r>
    </w:p>
    <w:p w:rsidR="00320E26" w:rsidRDefault="00320E26">
      <w:pPr>
        <w:pStyle w:val="ConsPlusNonforma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320E26">
        <w:rPr>
          <w:rFonts w:ascii="Times New Roman" w:hAnsi="Times New Roman" w:cs="Times New Roman"/>
          <w:sz w:val="24"/>
          <w:szCs w:val="24"/>
        </w:rPr>
        <w:t>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320E26" w:rsidDel="00320E26">
        <w:rPr>
          <w:rFonts w:ascii="Times New Roman" w:hAnsi="Times New Roman" w:cs="Times New Roman"/>
          <w:sz w:val="24"/>
          <w:szCs w:val="24"/>
        </w:rPr>
        <w:t xml:space="preserve"> </w:t>
      </w:r>
    </w:p>
    <w:p w:rsidR="00E06D50" w:rsidRPr="00DA7D5A" w:rsidRDefault="00320E26">
      <w:pPr>
        <w:pStyle w:val="ConsPlusNonforma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320E26">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Pr="00320E26" w:rsidDel="00320E26">
        <w:rPr>
          <w:rFonts w:ascii="Times New Roman" w:hAnsi="Times New Roman" w:cs="Times New Roman"/>
          <w:sz w:val="24"/>
          <w:szCs w:val="24"/>
        </w:rPr>
        <w:t xml:space="preserve"> </w:t>
      </w:r>
    </w:p>
    <w:p w:rsidR="00320E26" w:rsidRDefault="00320E26" w:rsidP="00DC18FC">
      <w:pPr>
        <w:pStyle w:val="ConsPlusNormal"/>
        <w:contextualSpacing/>
        <w:jc w:val="center"/>
        <w:outlineLvl w:val="2"/>
      </w:pPr>
    </w:p>
    <w:p w:rsidR="00E06D50" w:rsidRPr="00DA7D5A" w:rsidRDefault="00E06D50" w:rsidP="00DC18FC">
      <w:pPr>
        <w:pStyle w:val="ConsPlusNormal"/>
        <w:contextualSpacing/>
        <w:jc w:val="center"/>
        <w:outlineLvl w:val="2"/>
      </w:pPr>
      <w:r w:rsidRPr="00DA7D5A">
        <w:t>IV. Разграничение балансовой принадлежности электрических</w:t>
      </w:r>
    </w:p>
    <w:p w:rsidR="00E06D50" w:rsidRPr="00DA7D5A" w:rsidRDefault="00E06D50" w:rsidP="00DC18FC">
      <w:pPr>
        <w:pStyle w:val="ConsPlusNormal"/>
        <w:contextualSpacing/>
        <w:jc w:val="center"/>
      </w:pPr>
      <w:r w:rsidRPr="00DA7D5A">
        <w:t>сетей и эксплуатационной ответственности Сторон</w:t>
      </w:r>
    </w:p>
    <w:p w:rsidR="00E06D50" w:rsidRPr="00DA7D5A" w:rsidRDefault="00E06D50" w:rsidP="00DC18FC">
      <w:pPr>
        <w:pStyle w:val="ConsPlusNormal"/>
        <w:contextualSpacing/>
        <w:jc w:val="both"/>
      </w:pPr>
    </w:p>
    <w:p w:rsidR="00320E26" w:rsidRDefault="00320E26" w:rsidP="00DC18FC">
      <w:pPr>
        <w:pStyle w:val="ConsPlusNormal"/>
        <w:ind w:firstLine="540"/>
        <w:contextualSpacing/>
        <w:jc w:val="both"/>
      </w:pPr>
      <w:r w:rsidRPr="00DA7D5A">
        <w:t>1</w:t>
      </w:r>
      <w:r>
        <w:t>3</w:t>
      </w:r>
      <w:r w:rsidR="00E06D50" w:rsidRPr="00DA7D5A">
        <w:t>. Каждая из сторон несет балансовую и эксплуатационную ответственность до точки присоединения энергопринимающих устройств</w:t>
      </w:r>
      <w:r>
        <w:t>.</w:t>
      </w:r>
    </w:p>
    <w:p w:rsidR="00F524D8" w:rsidRDefault="00F524D8" w:rsidP="00DC18FC">
      <w:pPr>
        <w:pStyle w:val="ConsPlusNormal"/>
        <w:contextualSpacing/>
        <w:jc w:val="center"/>
        <w:outlineLvl w:val="2"/>
      </w:pPr>
    </w:p>
    <w:p w:rsidR="00E06D50" w:rsidRPr="00DA7D5A" w:rsidRDefault="00E06D50" w:rsidP="00DC18FC">
      <w:pPr>
        <w:pStyle w:val="ConsPlusNormal"/>
        <w:contextualSpacing/>
        <w:jc w:val="center"/>
        <w:outlineLvl w:val="2"/>
      </w:pPr>
      <w:r w:rsidRPr="00DA7D5A">
        <w:t>V. Условия изменения, расторжения договора</w:t>
      </w:r>
    </w:p>
    <w:p w:rsidR="00E06D50" w:rsidRPr="00DA7D5A" w:rsidRDefault="00E06D50" w:rsidP="00DC18FC">
      <w:pPr>
        <w:pStyle w:val="ConsPlusNormal"/>
        <w:contextualSpacing/>
        <w:jc w:val="center"/>
      </w:pPr>
      <w:r w:rsidRPr="00DA7D5A">
        <w:t xml:space="preserve">и ответственность </w:t>
      </w:r>
      <w:r w:rsidR="00320E26">
        <w:t>с</w:t>
      </w:r>
      <w:r w:rsidR="00320E26" w:rsidRPr="00DA7D5A">
        <w:t>торон</w:t>
      </w:r>
    </w:p>
    <w:p w:rsidR="00E06D50" w:rsidRPr="00DA7D5A" w:rsidRDefault="00E06D50" w:rsidP="00DC18FC">
      <w:pPr>
        <w:pStyle w:val="ConsPlusNormal"/>
        <w:contextualSpacing/>
        <w:jc w:val="both"/>
      </w:pPr>
    </w:p>
    <w:p w:rsidR="00320E26" w:rsidRDefault="00320E26" w:rsidP="00320E26">
      <w:pPr>
        <w:pStyle w:val="ConsPlusNormal"/>
        <w:ind w:firstLine="567"/>
        <w:contextualSpacing/>
        <w:jc w:val="both"/>
      </w:pPr>
      <w:r>
        <w:t>14. Настоящий договор может быть изменен по письменному соглашению сторон или в судебном порядке.</w:t>
      </w:r>
    </w:p>
    <w:p w:rsidR="00320E26" w:rsidRDefault="00320E26" w:rsidP="00320E26">
      <w:pPr>
        <w:pStyle w:val="ConsPlusNormal"/>
        <w:ind w:firstLine="567"/>
        <w:contextualSpacing/>
        <w:jc w:val="both"/>
      </w:pPr>
      <w:r>
        <w:lastRenderedPageBreak/>
        <w:t>15. Договор может быть расторгнут по требованию одной из сторон по основаниям, предусмотренным Гражданским кодексом Российской Федерации.</w:t>
      </w:r>
    </w:p>
    <w:p w:rsidR="00320E26" w:rsidRDefault="00320E26" w:rsidP="00320E26">
      <w:pPr>
        <w:pStyle w:val="ConsPlusNormal"/>
        <w:ind w:firstLine="567"/>
        <w:contextualSpacing/>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320E26" w:rsidRDefault="00320E26" w:rsidP="00320E26">
      <w:pPr>
        <w:pStyle w:val="ConsPlusNormal"/>
        <w:ind w:firstLine="567"/>
        <w:contextualSpacing/>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20E26" w:rsidRDefault="00320E26" w:rsidP="00320E26">
      <w:pPr>
        <w:pStyle w:val="ConsPlusNormal"/>
        <w:ind w:firstLine="567"/>
        <w:contextualSpacing/>
        <w:jc w:val="both"/>
      </w:pPr>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0E26" w:rsidRDefault="00320E26" w:rsidP="00320E26">
      <w:pPr>
        <w:pStyle w:val="ConsPlusNormal"/>
        <w:ind w:firstLine="567"/>
        <w:contextualSpacing/>
        <w:jc w:val="both"/>
      </w:pPr>
      <w: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320E26" w:rsidRDefault="00320E26" w:rsidP="00320E26">
      <w:pPr>
        <w:pStyle w:val="ConsPlusNormal"/>
        <w:ind w:firstLine="567"/>
        <w:contextualSpacing/>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C6B61" w:rsidRPr="00DA7D5A" w:rsidRDefault="00320E26" w:rsidP="00320E26">
      <w:pPr>
        <w:pStyle w:val="ConsPlusNormal"/>
        <w:ind w:firstLine="567"/>
        <w:contextualSpacing/>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r w:rsidRPr="001E4F19" w:rsidDel="00320E26">
        <w:t xml:space="preserve"> </w:t>
      </w:r>
      <w:bookmarkStart w:id="4" w:name="Par2620"/>
      <w:bookmarkStart w:id="5" w:name="Par2619"/>
      <w:bookmarkEnd w:id="4"/>
      <w:bookmarkEnd w:id="5"/>
    </w:p>
    <w:p w:rsidR="008C6B61" w:rsidRPr="00DA7D5A" w:rsidRDefault="008C6B61" w:rsidP="00320E26">
      <w:pPr>
        <w:pStyle w:val="ConsPlusNormal"/>
        <w:ind w:firstLine="567"/>
        <w:contextualSpacing/>
        <w:jc w:val="both"/>
      </w:pPr>
    </w:p>
    <w:p w:rsidR="00E06D50" w:rsidRPr="00DA7D5A" w:rsidRDefault="00E06D50" w:rsidP="00E06D50">
      <w:pPr>
        <w:pStyle w:val="ConsPlusNormal"/>
        <w:contextualSpacing/>
        <w:jc w:val="center"/>
        <w:outlineLvl w:val="2"/>
      </w:pPr>
      <w:r w:rsidRPr="00DA7D5A">
        <w:t>VI. Порядок разрешения споров</w:t>
      </w:r>
    </w:p>
    <w:p w:rsidR="00E06D50" w:rsidRPr="00DA7D5A" w:rsidRDefault="00E06D50" w:rsidP="00E06D50">
      <w:pPr>
        <w:pStyle w:val="ConsPlusNormal"/>
        <w:contextualSpacing/>
        <w:jc w:val="both"/>
      </w:pPr>
    </w:p>
    <w:p w:rsidR="00E06D50" w:rsidRPr="00DA7D5A" w:rsidRDefault="00320E26" w:rsidP="00DA7D5A">
      <w:pPr>
        <w:autoSpaceDE w:val="0"/>
        <w:autoSpaceDN w:val="0"/>
        <w:adjustRightInd w:val="0"/>
        <w:spacing w:after="0" w:line="240" w:lineRule="auto"/>
        <w:ind w:firstLine="540"/>
        <w:jc w:val="both"/>
        <w:rPr>
          <w:rFonts w:eastAsiaTheme="minorHAnsi"/>
          <w:sz w:val="24"/>
          <w:szCs w:val="24"/>
          <w:lang w:eastAsia="en-US"/>
        </w:rPr>
      </w:pPr>
      <w:r>
        <w:rPr>
          <w:rFonts w:ascii="Times New Roman" w:eastAsiaTheme="minorHAnsi" w:hAnsi="Times New Roman" w:cs="Times New Roman"/>
          <w:sz w:val="24"/>
          <w:szCs w:val="24"/>
          <w:lang w:eastAsia="en-US"/>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E06D50" w:rsidRPr="00DA7D5A" w:rsidRDefault="00E06D50" w:rsidP="00E06D50">
      <w:pPr>
        <w:pStyle w:val="ConsPlusNormal"/>
        <w:contextualSpacing/>
        <w:jc w:val="both"/>
      </w:pPr>
    </w:p>
    <w:p w:rsidR="00E06D50" w:rsidRPr="00DA7D5A" w:rsidRDefault="00E06D50" w:rsidP="00E06D50">
      <w:pPr>
        <w:pStyle w:val="ConsPlusNormal"/>
        <w:contextualSpacing/>
        <w:jc w:val="center"/>
        <w:outlineLvl w:val="2"/>
      </w:pPr>
      <w:r w:rsidRPr="00DA7D5A">
        <w:t>VII. Заключительные положения</w:t>
      </w:r>
    </w:p>
    <w:p w:rsidR="00E06D50" w:rsidRPr="00DA7D5A" w:rsidRDefault="00E06D50" w:rsidP="00E06D50">
      <w:pPr>
        <w:pStyle w:val="ConsPlusNormal"/>
        <w:contextualSpacing/>
        <w:jc w:val="both"/>
      </w:pPr>
    </w:p>
    <w:p w:rsidR="002138E6" w:rsidRDefault="002138E6" w:rsidP="00DA7D5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 Договор считается заключенным со дня оплаты заявителем счета на оплату технологического присоединения по договору.</w:t>
      </w:r>
    </w:p>
    <w:p w:rsidR="003C4BAC" w:rsidRPr="00DA7D5A" w:rsidRDefault="002138E6" w:rsidP="00C65939">
      <w:pPr>
        <w:pStyle w:val="ConsPlusNormal"/>
        <w:contextualSpacing/>
        <w:jc w:val="both"/>
      </w:pPr>
      <w:r>
        <w:rPr>
          <w:rFonts w:eastAsiaTheme="minorHAnsi"/>
          <w:lang w:eastAsia="en-US"/>
        </w:rPr>
        <w:t>22. Договор составлен и подписан в двух экземплярах, по одному для каждой из сторон.</w:t>
      </w:r>
    </w:p>
    <w:sectPr w:rsidR="003C4BAC" w:rsidRPr="00DA7D5A" w:rsidSect="00DA7D5A">
      <w:headerReference w:type="default" r:id="rId8"/>
      <w:pgSz w:w="11906" w:h="16838"/>
      <w:pgMar w:top="567"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8D" w:rsidRDefault="002B498D" w:rsidP="0071165B">
      <w:pPr>
        <w:spacing w:after="0" w:line="240" w:lineRule="auto"/>
      </w:pPr>
      <w:r>
        <w:separator/>
      </w:r>
    </w:p>
  </w:endnote>
  <w:endnote w:type="continuationSeparator" w:id="0">
    <w:p w:rsidR="002B498D" w:rsidRDefault="002B498D" w:rsidP="0071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8D" w:rsidRDefault="002B498D" w:rsidP="0071165B">
      <w:pPr>
        <w:spacing w:after="0" w:line="240" w:lineRule="auto"/>
      </w:pPr>
      <w:r>
        <w:separator/>
      </w:r>
    </w:p>
  </w:footnote>
  <w:footnote w:type="continuationSeparator" w:id="0">
    <w:p w:rsidR="002B498D" w:rsidRDefault="002B498D" w:rsidP="0071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805466"/>
      <w:docPartObj>
        <w:docPartGallery w:val="Page Numbers (Top of Page)"/>
        <w:docPartUnique/>
      </w:docPartObj>
    </w:sdtPr>
    <w:sdtEndPr/>
    <w:sdtContent>
      <w:p w:rsidR="0071165B" w:rsidRDefault="0071165B">
        <w:pPr>
          <w:pStyle w:val="af2"/>
          <w:jc w:val="center"/>
        </w:pPr>
        <w:r>
          <w:fldChar w:fldCharType="begin"/>
        </w:r>
        <w:r>
          <w:instrText>PAGE   \* MERGEFORMAT</w:instrText>
        </w:r>
        <w:r>
          <w:fldChar w:fldCharType="separate"/>
        </w:r>
        <w:r w:rsidR="008123BA">
          <w:rPr>
            <w:noProof/>
          </w:rPr>
          <w:t>4</w:t>
        </w:r>
        <w:r>
          <w:fldChar w:fldCharType="end"/>
        </w:r>
      </w:p>
    </w:sdtContent>
  </w:sdt>
  <w:p w:rsidR="0071165B" w:rsidRDefault="0071165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64046"/>
    <w:multiLevelType w:val="hybridMultilevel"/>
    <w:tmpl w:val="DE285F02"/>
    <w:lvl w:ilvl="0" w:tplc="26FE4B58">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FE"/>
    <w:rsid w:val="00024E43"/>
    <w:rsid w:val="00093D29"/>
    <w:rsid w:val="000A1367"/>
    <w:rsid w:val="000B0013"/>
    <w:rsid w:val="000F5E35"/>
    <w:rsid w:val="00127793"/>
    <w:rsid w:val="00150489"/>
    <w:rsid w:val="00154CC1"/>
    <w:rsid w:val="0015505F"/>
    <w:rsid w:val="00180BF0"/>
    <w:rsid w:val="00184EEC"/>
    <w:rsid w:val="001A331D"/>
    <w:rsid w:val="001D16EC"/>
    <w:rsid w:val="001E4F19"/>
    <w:rsid w:val="001E576C"/>
    <w:rsid w:val="001E6DEE"/>
    <w:rsid w:val="002042ED"/>
    <w:rsid w:val="00207973"/>
    <w:rsid w:val="002138E6"/>
    <w:rsid w:val="002275E7"/>
    <w:rsid w:val="00233056"/>
    <w:rsid w:val="00242F1D"/>
    <w:rsid w:val="00251ACE"/>
    <w:rsid w:val="00253C6A"/>
    <w:rsid w:val="00277241"/>
    <w:rsid w:val="002A063F"/>
    <w:rsid w:val="002B498D"/>
    <w:rsid w:val="002C4CC7"/>
    <w:rsid w:val="002D1C46"/>
    <w:rsid w:val="002E3199"/>
    <w:rsid w:val="002F765E"/>
    <w:rsid w:val="00320E26"/>
    <w:rsid w:val="00342F99"/>
    <w:rsid w:val="00375C1E"/>
    <w:rsid w:val="0037729B"/>
    <w:rsid w:val="00390B57"/>
    <w:rsid w:val="00397711"/>
    <w:rsid w:val="003B3280"/>
    <w:rsid w:val="003C35C7"/>
    <w:rsid w:val="003C4BAC"/>
    <w:rsid w:val="003E6241"/>
    <w:rsid w:val="00411E23"/>
    <w:rsid w:val="0047483D"/>
    <w:rsid w:val="004779C5"/>
    <w:rsid w:val="00494518"/>
    <w:rsid w:val="004B30DA"/>
    <w:rsid w:val="005371B7"/>
    <w:rsid w:val="00580F5B"/>
    <w:rsid w:val="005B3895"/>
    <w:rsid w:val="006920CB"/>
    <w:rsid w:val="006A2916"/>
    <w:rsid w:val="006C79D7"/>
    <w:rsid w:val="006D1F6B"/>
    <w:rsid w:val="0071165B"/>
    <w:rsid w:val="00724EBD"/>
    <w:rsid w:val="007934E5"/>
    <w:rsid w:val="007D2A23"/>
    <w:rsid w:val="007E60BB"/>
    <w:rsid w:val="007E6310"/>
    <w:rsid w:val="007F5277"/>
    <w:rsid w:val="007F725B"/>
    <w:rsid w:val="00804361"/>
    <w:rsid w:val="00804681"/>
    <w:rsid w:val="008123BA"/>
    <w:rsid w:val="008326AF"/>
    <w:rsid w:val="00846710"/>
    <w:rsid w:val="00852607"/>
    <w:rsid w:val="00860734"/>
    <w:rsid w:val="008814E0"/>
    <w:rsid w:val="008871DD"/>
    <w:rsid w:val="008954CB"/>
    <w:rsid w:val="008C6B61"/>
    <w:rsid w:val="008E5BF2"/>
    <w:rsid w:val="008F75A1"/>
    <w:rsid w:val="0090137C"/>
    <w:rsid w:val="009465DE"/>
    <w:rsid w:val="00962761"/>
    <w:rsid w:val="00985AC9"/>
    <w:rsid w:val="009975BD"/>
    <w:rsid w:val="009A2D60"/>
    <w:rsid w:val="009D0E7E"/>
    <w:rsid w:val="00A46C17"/>
    <w:rsid w:val="00A72AC6"/>
    <w:rsid w:val="00A87126"/>
    <w:rsid w:val="00A93837"/>
    <w:rsid w:val="00AE45A5"/>
    <w:rsid w:val="00AF1FB9"/>
    <w:rsid w:val="00AF409A"/>
    <w:rsid w:val="00B35487"/>
    <w:rsid w:val="00B35CF2"/>
    <w:rsid w:val="00B65386"/>
    <w:rsid w:val="00BA09F4"/>
    <w:rsid w:val="00C06B90"/>
    <w:rsid w:val="00C136D8"/>
    <w:rsid w:val="00C434FE"/>
    <w:rsid w:val="00C65939"/>
    <w:rsid w:val="00C9113E"/>
    <w:rsid w:val="00C91CF4"/>
    <w:rsid w:val="00C952B0"/>
    <w:rsid w:val="00D226B6"/>
    <w:rsid w:val="00DA7D5A"/>
    <w:rsid w:val="00DB3868"/>
    <w:rsid w:val="00DB72F9"/>
    <w:rsid w:val="00DC18FC"/>
    <w:rsid w:val="00DE46E2"/>
    <w:rsid w:val="00E0008E"/>
    <w:rsid w:val="00E06D50"/>
    <w:rsid w:val="00E10996"/>
    <w:rsid w:val="00E21132"/>
    <w:rsid w:val="00E308A5"/>
    <w:rsid w:val="00E37D5B"/>
    <w:rsid w:val="00E53CD3"/>
    <w:rsid w:val="00E61DEC"/>
    <w:rsid w:val="00E61E32"/>
    <w:rsid w:val="00EB1408"/>
    <w:rsid w:val="00EC6B23"/>
    <w:rsid w:val="00F1383A"/>
    <w:rsid w:val="00F20688"/>
    <w:rsid w:val="00F524D8"/>
    <w:rsid w:val="00F917A0"/>
    <w:rsid w:val="00F96432"/>
    <w:rsid w:val="00FE0266"/>
    <w:rsid w:val="00FE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3A21"/>
  <w15:docId w15:val="{D37FC4DB-DA3A-4459-84AD-AADA638B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4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4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434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251ACE"/>
    <w:rPr>
      <w:color w:val="0000FF" w:themeColor="hyperlink"/>
      <w:u w:val="single"/>
    </w:rPr>
  </w:style>
  <w:style w:type="paragraph" w:styleId="a4">
    <w:name w:val="Balloon Text"/>
    <w:basedOn w:val="a"/>
    <w:link w:val="a5"/>
    <w:uiPriority w:val="99"/>
    <w:semiHidden/>
    <w:unhideWhenUsed/>
    <w:rsid w:val="002042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42ED"/>
    <w:rPr>
      <w:rFonts w:ascii="Segoe UI" w:eastAsiaTheme="minorEastAsia" w:hAnsi="Segoe UI" w:cs="Segoe UI"/>
      <w:sz w:val="18"/>
      <w:szCs w:val="18"/>
      <w:lang w:eastAsia="ru-RU"/>
    </w:rPr>
  </w:style>
  <w:style w:type="paragraph" w:styleId="a6">
    <w:name w:val="Revision"/>
    <w:hidden/>
    <w:uiPriority w:val="99"/>
    <w:semiHidden/>
    <w:rsid w:val="002042ED"/>
    <w:pPr>
      <w:spacing w:after="0" w:line="240" w:lineRule="auto"/>
    </w:pPr>
    <w:rPr>
      <w:rFonts w:eastAsiaTheme="minorEastAsia"/>
      <w:lang w:eastAsia="ru-RU"/>
    </w:rPr>
  </w:style>
  <w:style w:type="character" w:styleId="a7">
    <w:name w:val="annotation reference"/>
    <w:basedOn w:val="a0"/>
    <w:uiPriority w:val="99"/>
    <w:semiHidden/>
    <w:unhideWhenUsed/>
    <w:rsid w:val="0071165B"/>
    <w:rPr>
      <w:sz w:val="16"/>
      <w:szCs w:val="16"/>
    </w:rPr>
  </w:style>
  <w:style w:type="paragraph" w:styleId="a8">
    <w:name w:val="annotation text"/>
    <w:basedOn w:val="a"/>
    <w:link w:val="a9"/>
    <w:uiPriority w:val="99"/>
    <w:semiHidden/>
    <w:unhideWhenUsed/>
    <w:rsid w:val="0071165B"/>
    <w:pPr>
      <w:spacing w:line="240" w:lineRule="auto"/>
    </w:pPr>
    <w:rPr>
      <w:sz w:val="20"/>
      <w:szCs w:val="20"/>
    </w:rPr>
  </w:style>
  <w:style w:type="character" w:customStyle="1" w:styleId="a9">
    <w:name w:val="Текст примечания Знак"/>
    <w:basedOn w:val="a0"/>
    <w:link w:val="a8"/>
    <w:uiPriority w:val="99"/>
    <w:semiHidden/>
    <w:rsid w:val="0071165B"/>
    <w:rPr>
      <w:rFonts w:eastAsiaTheme="minorEastAsia"/>
      <w:sz w:val="20"/>
      <w:szCs w:val="20"/>
      <w:lang w:eastAsia="ru-RU"/>
    </w:rPr>
  </w:style>
  <w:style w:type="paragraph" w:styleId="aa">
    <w:name w:val="annotation subject"/>
    <w:basedOn w:val="a8"/>
    <w:next w:val="a8"/>
    <w:link w:val="ab"/>
    <w:uiPriority w:val="99"/>
    <w:semiHidden/>
    <w:unhideWhenUsed/>
    <w:rsid w:val="0071165B"/>
    <w:rPr>
      <w:b/>
      <w:bCs/>
    </w:rPr>
  </w:style>
  <w:style w:type="character" w:customStyle="1" w:styleId="ab">
    <w:name w:val="Тема примечания Знак"/>
    <w:basedOn w:val="a9"/>
    <w:link w:val="aa"/>
    <w:uiPriority w:val="99"/>
    <w:semiHidden/>
    <w:rsid w:val="0071165B"/>
    <w:rPr>
      <w:rFonts w:eastAsiaTheme="minorEastAsia"/>
      <w:b/>
      <w:bCs/>
      <w:sz w:val="20"/>
      <w:szCs w:val="20"/>
      <w:lang w:eastAsia="ru-RU"/>
    </w:rPr>
  </w:style>
  <w:style w:type="paragraph" w:styleId="ac">
    <w:name w:val="footnote text"/>
    <w:basedOn w:val="a"/>
    <w:link w:val="ad"/>
    <w:uiPriority w:val="99"/>
    <w:semiHidden/>
    <w:unhideWhenUsed/>
    <w:rsid w:val="0071165B"/>
    <w:pPr>
      <w:spacing w:after="0" w:line="240" w:lineRule="auto"/>
    </w:pPr>
    <w:rPr>
      <w:sz w:val="20"/>
      <w:szCs w:val="20"/>
    </w:rPr>
  </w:style>
  <w:style w:type="character" w:customStyle="1" w:styleId="ad">
    <w:name w:val="Текст сноски Знак"/>
    <w:basedOn w:val="a0"/>
    <w:link w:val="ac"/>
    <w:uiPriority w:val="99"/>
    <w:semiHidden/>
    <w:rsid w:val="0071165B"/>
    <w:rPr>
      <w:rFonts w:eastAsiaTheme="minorEastAsia"/>
      <w:sz w:val="20"/>
      <w:szCs w:val="20"/>
      <w:lang w:eastAsia="ru-RU"/>
    </w:rPr>
  </w:style>
  <w:style w:type="character" w:styleId="ae">
    <w:name w:val="footnote reference"/>
    <w:basedOn w:val="a0"/>
    <w:uiPriority w:val="99"/>
    <w:unhideWhenUsed/>
    <w:rsid w:val="0071165B"/>
    <w:rPr>
      <w:vertAlign w:val="superscript"/>
    </w:rPr>
  </w:style>
  <w:style w:type="paragraph" w:styleId="af">
    <w:name w:val="endnote text"/>
    <w:basedOn w:val="a"/>
    <w:link w:val="af0"/>
    <w:uiPriority w:val="99"/>
    <w:semiHidden/>
    <w:unhideWhenUsed/>
    <w:rsid w:val="0071165B"/>
    <w:pPr>
      <w:spacing w:after="0" w:line="240" w:lineRule="auto"/>
    </w:pPr>
    <w:rPr>
      <w:sz w:val="20"/>
      <w:szCs w:val="20"/>
    </w:rPr>
  </w:style>
  <w:style w:type="character" w:customStyle="1" w:styleId="af0">
    <w:name w:val="Текст концевой сноски Знак"/>
    <w:basedOn w:val="a0"/>
    <w:link w:val="af"/>
    <w:uiPriority w:val="99"/>
    <w:semiHidden/>
    <w:rsid w:val="0071165B"/>
    <w:rPr>
      <w:rFonts w:eastAsiaTheme="minorEastAsia"/>
      <w:sz w:val="20"/>
      <w:szCs w:val="20"/>
      <w:lang w:eastAsia="ru-RU"/>
    </w:rPr>
  </w:style>
  <w:style w:type="character" w:styleId="af1">
    <w:name w:val="endnote reference"/>
    <w:basedOn w:val="a0"/>
    <w:uiPriority w:val="99"/>
    <w:semiHidden/>
    <w:unhideWhenUsed/>
    <w:rsid w:val="0071165B"/>
    <w:rPr>
      <w:vertAlign w:val="superscript"/>
    </w:rPr>
  </w:style>
  <w:style w:type="paragraph" w:styleId="af2">
    <w:name w:val="header"/>
    <w:basedOn w:val="a"/>
    <w:link w:val="af3"/>
    <w:uiPriority w:val="99"/>
    <w:unhideWhenUsed/>
    <w:rsid w:val="0071165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1165B"/>
    <w:rPr>
      <w:rFonts w:eastAsiaTheme="minorEastAsia"/>
      <w:lang w:eastAsia="ru-RU"/>
    </w:rPr>
  </w:style>
  <w:style w:type="paragraph" w:styleId="af4">
    <w:name w:val="footer"/>
    <w:basedOn w:val="a"/>
    <w:link w:val="af5"/>
    <w:uiPriority w:val="99"/>
    <w:unhideWhenUsed/>
    <w:rsid w:val="0071165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1165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1260">
      <w:bodyDiv w:val="1"/>
      <w:marLeft w:val="0"/>
      <w:marRight w:val="0"/>
      <w:marTop w:val="0"/>
      <w:marBottom w:val="0"/>
      <w:divBdr>
        <w:top w:val="none" w:sz="0" w:space="0" w:color="auto"/>
        <w:left w:val="none" w:sz="0" w:space="0" w:color="auto"/>
        <w:bottom w:val="none" w:sz="0" w:space="0" w:color="auto"/>
        <w:right w:val="none" w:sz="0" w:space="0" w:color="auto"/>
      </w:divBdr>
    </w:div>
    <w:div w:id="265041865">
      <w:bodyDiv w:val="1"/>
      <w:marLeft w:val="0"/>
      <w:marRight w:val="0"/>
      <w:marTop w:val="0"/>
      <w:marBottom w:val="0"/>
      <w:divBdr>
        <w:top w:val="none" w:sz="0" w:space="0" w:color="auto"/>
        <w:left w:val="none" w:sz="0" w:space="0" w:color="auto"/>
        <w:bottom w:val="none" w:sz="0" w:space="0" w:color="auto"/>
        <w:right w:val="none" w:sz="0" w:space="0" w:color="auto"/>
      </w:divBdr>
    </w:div>
    <w:div w:id="338241070">
      <w:bodyDiv w:val="1"/>
      <w:marLeft w:val="0"/>
      <w:marRight w:val="0"/>
      <w:marTop w:val="0"/>
      <w:marBottom w:val="0"/>
      <w:divBdr>
        <w:top w:val="none" w:sz="0" w:space="0" w:color="auto"/>
        <w:left w:val="none" w:sz="0" w:space="0" w:color="auto"/>
        <w:bottom w:val="none" w:sz="0" w:space="0" w:color="auto"/>
        <w:right w:val="none" w:sz="0" w:space="0" w:color="auto"/>
      </w:divBdr>
    </w:div>
    <w:div w:id="548611861">
      <w:bodyDiv w:val="1"/>
      <w:marLeft w:val="0"/>
      <w:marRight w:val="0"/>
      <w:marTop w:val="0"/>
      <w:marBottom w:val="0"/>
      <w:divBdr>
        <w:top w:val="none" w:sz="0" w:space="0" w:color="auto"/>
        <w:left w:val="none" w:sz="0" w:space="0" w:color="auto"/>
        <w:bottom w:val="none" w:sz="0" w:space="0" w:color="auto"/>
        <w:right w:val="none" w:sz="0" w:space="0" w:color="auto"/>
      </w:divBdr>
    </w:div>
    <w:div w:id="686643474">
      <w:bodyDiv w:val="1"/>
      <w:marLeft w:val="0"/>
      <w:marRight w:val="0"/>
      <w:marTop w:val="0"/>
      <w:marBottom w:val="0"/>
      <w:divBdr>
        <w:top w:val="none" w:sz="0" w:space="0" w:color="auto"/>
        <w:left w:val="none" w:sz="0" w:space="0" w:color="auto"/>
        <w:bottom w:val="none" w:sz="0" w:space="0" w:color="auto"/>
        <w:right w:val="none" w:sz="0" w:space="0" w:color="auto"/>
      </w:divBdr>
    </w:div>
    <w:div w:id="13481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C45F-BCA2-438B-B33D-6233E9E2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ПАО "Ленэнерго"</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Аббатурова Анна Александровна</dc:creator>
  <cp:lastModifiedBy>Фролова Кристина Игоревна</cp:lastModifiedBy>
  <cp:revision>2</cp:revision>
  <dcterms:created xsi:type="dcterms:W3CDTF">2022-07-15T05:05:00Z</dcterms:created>
  <dcterms:modified xsi:type="dcterms:W3CDTF">2022-07-15T05:05:00Z</dcterms:modified>
</cp:coreProperties>
</file>